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443557">
      <w:pPr>
        <w:pStyle w:val="11"/>
        <w:widowControl/>
        <w:spacing w:line="600" w:lineRule="exact"/>
        <w:ind w:firstLine="640"/>
        <w:rPr>
          <w:rFonts w:hint="eastAsia" w:ascii="仿宋" w:hAnsi="仿宋" w:eastAsia="仿宋" w:cs="仿宋"/>
          <w:bCs/>
          <w:color w:val="404040"/>
          <w:sz w:val="32"/>
          <w:szCs w:val="32"/>
        </w:rPr>
      </w:pPr>
    </w:p>
    <w:p w14:paraId="30BEF4DE">
      <w:pPr>
        <w:pStyle w:val="2"/>
        <w:spacing w:before="120" w:after="120" w:line="600" w:lineRule="exact"/>
        <w:jc w:val="center"/>
        <w:rPr>
          <w:rFonts w:hint="eastAsia" w:ascii="华文中宋" w:hAnsi="华文中宋" w:eastAsia="华文中宋"/>
          <w:color w:val="auto"/>
          <w:sz w:val="36"/>
          <w:szCs w:val="36"/>
        </w:rPr>
      </w:pPr>
      <w:bookmarkStart w:id="0" w:name="_Toc22050434"/>
      <w:r>
        <w:rPr>
          <w:rFonts w:hint="eastAsia" w:ascii="华文中宋" w:hAnsi="华文中宋" w:eastAsia="华文中宋"/>
          <w:color w:val="auto"/>
          <w:sz w:val="36"/>
          <w:szCs w:val="36"/>
        </w:rPr>
        <w:t>评分办法</w:t>
      </w:r>
      <w:bookmarkEnd w:id="0"/>
    </w:p>
    <w:p w14:paraId="28C4AD36">
      <w:pPr>
        <w:spacing w:line="600" w:lineRule="exact"/>
        <w:ind w:firstLine="633" w:firstLineChars="198"/>
        <w:rPr>
          <w:rFonts w:hint="eastAsia" w:ascii="黑体" w:hAnsi="黑体" w:eastAsia="黑体" w:cs="仿宋"/>
          <w:sz w:val="32"/>
          <w:szCs w:val="32"/>
        </w:rPr>
      </w:pPr>
      <w:r>
        <w:rPr>
          <w:rFonts w:hint="eastAsia" w:ascii="黑体" w:hAnsi="黑体" w:eastAsia="黑体" w:cs="仿宋"/>
          <w:sz w:val="32"/>
          <w:szCs w:val="32"/>
        </w:rPr>
        <w:t>一、评标方法</w:t>
      </w:r>
    </w:p>
    <w:p w14:paraId="1C35B751">
      <w:pPr>
        <w:spacing w:line="600" w:lineRule="exact"/>
        <w:ind w:firstLine="633" w:firstLineChars="198"/>
        <w:rPr>
          <w:rFonts w:hint="eastAsia" w:ascii="仿宋" w:hAnsi="仿宋" w:eastAsia="仿宋" w:cs="仿宋"/>
          <w:sz w:val="32"/>
          <w:szCs w:val="32"/>
        </w:rPr>
      </w:pPr>
      <w:r>
        <w:rPr>
          <w:rFonts w:hint="eastAsia" w:ascii="仿宋" w:hAnsi="仿宋" w:eastAsia="仿宋" w:cs="仿宋"/>
          <w:sz w:val="32"/>
          <w:szCs w:val="32"/>
        </w:rPr>
        <w:t>1.本项目评标方法采用综合评分法。集团组成的评标小组将依据各供应商响应文件，对其商务、技术、价格、服务等各项因素进行评价并按评分细则进行打分。供应商的最终得分为所有评委评分的算术平均值。</w:t>
      </w:r>
    </w:p>
    <w:p w14:paraId="53C64D38">
      <w:pPr>
        <w:spacing w:line="600" w:lineRule="exact"/>
        <w:ind w:firstLine="633" w:firstLineChars="198"/>
        <w:rPr>
          <w:rFonts w:hint="eastAsia" w:ascii="仿宋" w:hAnsi="仿宋" w:eastAsia="仿宋" w:cs="仿宋"/>
          <w:sz w:val="32"/>
          <w:szCs w:val="32"/>
        </w:rPr>
      </w:pPr>
      <w:r>
        <w:rPr>
          <w:rFonts w:hint="eastAsia" w:ascii="仿宋" w:hAnsi="仿宋" w:eastAsia="仿宋" w:cs="仿宋"/>
          <w:sz w:val="32"/>
          <w:szCs w:val="32"/>
        </w:rPr>
        <w:t>2.评标小组按各供应商最终得分由高到低顺序排列。得分相同的，按报价由低到高顺序排列。得分且报价相同的，按技术指标优劣顺序排列，按招标文件规定推荐成交候选人。</w:t>
      </w:r>
    </w:p>
    <w:p w14:paraId="798D34AB">
      <w:pPr>
        <w:spacing w:line="600" w:lineRule="exact"/>
        <w:ind w:firstLine="633" w:firstLineChars="198"/>
        <w:rPr>
          <w:rFonts w:hint="eastAsia" w:ascii="仿宋" w:hAnsi="仿宋" w:eastAsia="仿宋" w:cs="仿宋"/>
          <w:sz w:val="32"/>
          <w:szCs w:val="32"/>
        </w:rPr>
      </w:pPr>
      <w:r>
        <w:rPr>
          <w:rFonts w:hint="eastAsia" w:ascii="仿宋" w:hAnsi="仿宋" w:eastAsia="仿宋" w:cs="仿宋"/>
          <w:sz w:val="32"/>
          <w:szCs w:val="32"/>
        </w:rPr>
        <w:t>3.经集团工作专班和深改领导小组研究通过后，将确定排名第一的成交候选人为成交供应商。第一成交候选人如放弃成交或因故被取消成交资格，就谈可以依法选择排名第二的成交候选人为成交供应商或重新组织采购，以此类推。</w:t>
      </w:r>
    </w:p>
    <w:p w14:paraId="392A8C0B">
      <w:pPr>
        <w:pStyle w:val="38"/>
        <w:spacing w:line="600" w:lineRule="exact"/>
        <w:ind w:firstLine="643"/>
        <w:jc w:val="center"/>
        <w:rPr>
          <w:rFonts w:hint="eastAsia" w:ascii="仿宋" w:hAnsi="仿宋" w:eastAsia="仿宋" w:cs="仿宋"/>
          <w:b/>
          <w:bCs/>
          <w:color w:val="auto"/>
          <w:sz w:val="32"/>
          <w:szCs w:val="32"/>
        </w:rPr>
      </w:pPr>
      <w:r>
        <w:rPr>
          <w:rFonts w:hint="eastAsia" w:ascii="仿宋" w:hAnsi="仿宋" w:eastAsia="仿宋" w:cs="仿宋"/>
          <w:b/>
          <w:bCs/>
          <w:color w:val="auto"/>
          <w:sz w:val="32"/>
          <w:szCs w:val="32"/>
        </w:rPr>
        <w:t>评审细则</w:t>
      </w:r>
    </w:p>
    <w:tbl>
      <w:tblPr>
        <w:tblStyle w:val="16"/>
        <w:tblW w:w="0" w:type="auto"/>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7"/>
        <w:gridCol w:w="705"/>
        <w:gridCol w:w="6989"/>
      </w:tblGrid>
      <w:tr w14:paraId="14770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237" w:type="dxa"/>
            <w:vAlign w:val="center"/>
          </w:tcPr>
          <w:p w14:paraId="304B48A8">
            <w:pPr>
              <w:pStyle w:val="38"/>
              <w:spacing w:line="600" w:lineRule="exact"/>
              <w:ind w:firstLine="0" w:firstLineChars="0"/>
              <w:jc w:val="center"/>
              <w:rPr>
                <w:color w:val="auto"/>
                <w:sz w:val="24"/>
                <w:szCs w:val="24"/>
              </w:rPr>
            </w:pPr>
            <w:r>
              <w:rPr>
                <w:rFonts w:hint="eastAsia"/>
                <w:color w:val="auto"/>
                <w:sz w:val="24"/>
                <w:szCs w:val="24"/>
              </w:rPr>
              <w:t>评审因素</w:t>
            </w:r>
          </w:p>
        </w:tc>
        <w:tc>
          <w:tcPr>
            <w:tcW w:w="705" w:type="dxa"/>
            <w:vAlign w:val="center"/>
          </w:tcPr>
          <w:p w14:paraId="532F1385">
            <w:pPr>
              <w:pStyle w:val="38"/>
              <w:spacing w:line="600" w:lineRule="exact"/>
              <w:ind w:firstLine="0" w:firstLineChars="0"/>
              <w:jc w:val="center"/>
              <w:rPr>
                <w:color w:val="auto"/>
                <w:sz w:val="24"/>
                <w:szCs w:val="24"/>
              </w:rPr>
            </w:pPr>
            <w:r>
              <w:rPr>
                <w:rFonts w:hint="eastAsia"/>
                <w:color w:val="auto"/>
                <w:sz w:val="24"/>
                <w:szCs w:val="24"/>
              </w:rPr>
              <w:t>满分</w:t>
            </w:r>
          </w:p>
        </w:tc>
        <w:tc>
          <w:tcPr>
            <w:tcW w:w="6989" w:type="dxa"/>
            <w:vAlign w:val="center"/>
          </w:tcPr>
          <w:p w14:paraId="500CC1E3">
            <w:pPr>
              <w:pStyle w:val="38"/>
              <w:spacing w:line="600" w:lineRule="exact"/>
              <w:jc w:val="center"/>
              <w:rPr>
                <w:color w:val="auto"/>
                <w:sz w:val="24"/>
                <w:szCs w:val="24"/>
              </w:rPr>
            </w:pPr>
            <w:r>
              <w:rPr>
                <w:rFonts w:hint="eastAsia"/>
                <w:color w:val="auto"/>
                <w:sz w:val="24"/>
                <w:szCs w:val="24"/>
              </w:rPr>
              <w:t>评分标准</w:t>
            </w:r>
          </w:p>
        </w:tc>
      </w:tr>
      <w:tr w14:paraId="32C8D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237" w:type="dxa"/>
            <w:vAlign w:val="center"/>
          </w:tcPr>
          <w:p w14:paraId="34B603F2">
            <w:pPr>
              <w:pStyle w:val="38"/>
              <w:spacing w:line="600" w:lineRule="exact"/>
              <w:ind w:firstLine="0" w:firstLineChars="0"/>
              <w:jc w:val="center"/>
              <w:rPr>
                <w:color w:val="auto"/>
                <w:sz w:val="24"/>
                <w:szCs w:val="24"/>
              </w:rPr>
            </w:pPr>
            <w:r>
              <w:rPr>
                <w:rFonts w:hint="eastAsia"/>
                <w:color w:val="auto"/>
                <w:sz w:val="24"/>
                <w:szCs w:val="24"/>
              </w:rPr>
              <w:t>专业咨询费报价</w:t>
            </w:r>
          </w:p>
        </w:tc>
        <w:tc>
          <w:tcPr>
            <w:tcW w:w="705" w:type="dxa"/>
            <w:vAlign w:val="center"/>
          </w:tcPr>
          <w:p w14:paraId="45C23A13">
            <w:pPr>
              <w:pStyle w:val="38"/>
              <w:spacing w:line="600" w:lineRule="exact"/>
              <w:ind w:firstLine="0" w:firstLineChars="0"/>
              <w:rPr>
                <w:color w:val="auto"/>
                <w:sz w:val="24"/>
                <w:szCs w:val="24"/>
              </w:rPr>
            </w:pPr>
            <w:r>
              <w:rPr>
                <w:rFonts w:hint="eastAsia"/>
                <w:color w:val="auto"/>
                <w:sz w:val="24"/>
                <w:szCs w:val="24"/>
              </w:rPr>
              <w:t>15分</w:t>
            </w:r>
          </w:p>
        </w:tc>
        <w:tc>
          <w:tcPr>
            <w:tcW w:w="6989" w:type="dxa"/>
            <w:vAlign w:val="center"/>
          </w:tcPr>
          <w:p w14:paraId="473AB89A">
            <w:pPr>
              <w:pStyle w:val="38"/>
              <w:spacing w:line="600" w:lineRule="exact"/>
              <w:rPr>
                <w:color w:val="auto"/>
                <w:sz w:val="24"/>
                <w:szCs w:val="24"/>
              </w:rPr>
            </w:pPr>
            <w:r>
              <w:rPr>
                <w:rFonts w:hint="eastAsia"/>
                <w:color w:val="auto"/>
                <w:sz w:val="24"/>
                <w:szCs w:val="24"/>
              </w:rPr>
              <w:t>以满足磋商文件要求且最终报价平均值的为评标基准价，其价格分为满分15分，其他供应商的价格分按照下列公式计算：投标报价得分=（评审基准价/最终报价）×15%×100。</w:t>
            </w:r>
          </w:p>
        </w:tc>
      </w:tr>
      <w:tr w14:paraId="1BFF0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37" w:type="dxa"/>
            <w:vMerge w:val="restart"/>
            <w:vAlign w:val="center"/>
          </w:tcPr>
          <w:p w14:paraId="5D6C49C4">
            <w:pPr>
              <w:pStyle w:val="38"/>
              <w:spacing w:line="600" w:lineRule="exact"/>
              <w:ind w:firstLine="0" w:firstLineChars="0"/>
              <w:jc w:val="center"/>
              <w:rPr>
                <w:color w:val="auto"/>
                <w:sz w:val="24"/>
                <w:szCs w:val="24"/>
              </w:rPr>
            </w:pPr>
            <w:r>
              <w:rPr>
                <w:rFonts w:hint="eastAsia"/>
                <w:color w:val="auto"/>
                <w:sz w:val="24"/>
                <w:szCs w:val="24"/>
              </w:rPr>
              <w:t>工作实施</w:t>
            </w:r>
          </w:p>
          <w:p w14:paraId="1E56C277">
            <w:pPr>
              <w:pStyle w:val="38"/>
              <w:spacing w:line="600" w:lineRule="exact"/>
              <w:ind w:firstLine="0" w:firstLineChars="0"/>
              <w:jc w:val="center"/>
              <w:rPr>
                <w:color w:val="auto"/>
                <w:sz w:val="24"/>
                <w:szCs w:val="24"/>
              </w:rPr>
            </w:pPr>
            <w:r>
              <w:rPr>
                <w:rFonts w:hint="eastAsia"/>
                <w:color w:val="auto"/>
                <w:sz w:val="24"/>
                <w:szCs w:val="24"/>
              </w:rPr>
              <w:t>方案</w:t>
            </w:r>
          </w:p>
        </w:tc>
        <w:tc>
          <w:tcPr>
            <w:tcW w:w="705" w:type="dxa"/>
            <w:vAlign w:val="center"/>
          </w:tcPr>
          <w:p w14:paraId="016F160B">
            <w:pPr>
              <w:pStyle w:val="38"/>
              <w:spacing w:line="600" w:lineRule="exact"/>
              <w:ind w:firstLine="0" w:firstLineChars="0"/>
              <w:rPr>
                <w:color w:val="auto"/>
                <w:sz w:val="24"/>
                <w:szCs w:val="24"/>
              </w:rPr>
            </w:pPr>
            <w:r>
              <w:rPr>
                <w:color w:val="auto"/>
                <w:sz w:val="24"/>
                <w:szCs w:val="24"/>
              </w:rPr>
              <w:t>15</w:t>
            </w:r>
            <w:r>
              <w:rPr>
                <w:rFonts w:hint="eastAsia"/>
                <w:color w:val="auto"/>
                <w:sz w:val="24"/>
                <w:szCs w:val="24"/>
              </w:rPr>
              <w:t>分</w:t>
            </w:r>
          </w:p>
        </w:tc>
        <w:tc>
          <w:tcPr>
            <w:tcW w:w="6989" w:type="dxa"/>
            <w:vAlign w:val="center"/>
          </w:tcPr>
          <w:p w14:paraId="1DAD4A10">
            <w:pPr>
              <w:pStyle w:val="38"/>
              <w:spacing w:line="600" w:lineRule="exact"/>
              <w:rPr>
                <w:color w:val="auto"/>
                <w:sz w:val="24"/>
                <w:szCs w:val="24"/>
              </w:rPr>
            </w:pPr>
            <w:r>
              <w:rPr>
                <w:rFonts w:hint="eastAsia"/>
                <w:color w:val="auto"/>
                <w:sz w:val="24"/>
                <w:szCs w:val="24"/>
              </w:rPr>
              <w:t>对本项目总体要求的理解：对项目实施工作理解深刻、准确，对重点问题和难点进行准确、深入分析，掌握项目基本信息，由评标小组在0-15分之间酌情打分。</w:t>
            </w:r>
          </w:p>
        </w:tc>
      </w:tr>
      <w:tr w14:paraId="6B121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37" w:type="dxa"/>
            <w:vMerge w:val="continue"/>
            <w:vAlign w:val="center"/>
          </w:tcPr>
          <w:p w14:paraId="218D90F4">
            <w:pPr>
              <w:pStyle w:val="38"/>
              <w:spacing w:line="600" w:lineRule="exact"/>
              <w:ind w:firstLine="0" w:firstLineChars="0"/>
              <w:jc w:val="center"/>
              <w:rPr>
                <w:color w:val="auto"/>
                <w:sz w:val="24"/>
                <w:szCs w:val="24"/>
              </w:rPr>
            </w:pPr>
          </w:p>
        </w:tc>
        <w:tc>
          <w:tcPr>
            <w:tcW w:w="705" w:type="dxa"/>
            <w:vAlign w:val="center"/>
          </w:tcPr>
          <w:p w14:paraId="4EFEA0D1">
            <w:pPr>
              <w:pStyle w:val="38"/>
              <w:spacing w:line="600" w:lineRule="exact"/>
              <w:ind w:firstLine="0" w:firstLineChars="0"/>
              <w:rPr>
                <w:color w:val="auto"/>
                <w:sz w:val="24"/>
                <w:szCs w:val="24"/>
              </w:rPr>
            </w:pPr>
            <w:r>
              <w:rPr>
                <w:rFonts w:hint="eastAsia"/>
                <w:color w:val="auto"/>
                <w:sz w:val="24"/>
                <w:szCs w:val="24"/>
              </w:rPr>
              <w:t>15分</w:t>
            </w:r>
          </w:p>
        </w:tc>
        <w:tc>
          <w:tcPr>
            <w:tcW w:w="6989" w:type="dxa"/>
            <w:vAlign w:val="center"/>
          </w:tcPr>
          <w:p w14:paraId="196C4EA7">
            <w:pPr>
              <w:pStyle w:val="38"/>
              <w:spacing w:line="600" w:lineRule="exact"/>
              <w:rPr>
                <w:color w:val="auto"/>
                <w:sz w:val="24"/>
                <w:szCs w:val="24"/>
              </w:rPr>
            </w:pPr>
            <w:r>
              <w:rPr>
                <w:rFonts w:hint="eastAsia"/>
                <w:color w:val="auto"/>
                <w:sz w:val="24"/>
                <w:szCs w:val="24"/>
              </w:rPr>
              <w:t>供应商根据采购人的工作实质及要求制定工作计划的合理性、可行性等，由评标小组在0-15分之间酌情打分。</w:t>
            </w:r>
          </w:p>
        </w:tc>
      </w:tr>
      <w:tr w14:paraId="7FD11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1237" w:type="dxa"/>
            <w:vMerge w:val="continue"/>
            <w:vAlign w:val="center"/>
          </w:tcPr>
          <w:p w14:paraId="309D3A9F">
            <w:pPr>
              <w:pStyle w:val="38"/>
              <w:spacing w:line="600" w:lineRule="exact"/>
              <w:rPr>
                <w:color w:val="auto"/>
                <w:sz w:val="24"/>
                <w:szCs w:val="24"/>
              </w:rPr>
            </w:pPr>
          </w:p>
        </w:tc>
        <w:tc>
          <w:tcPr>
            <w:tcW w:w="705" w:type="dxa"/>
            <w:vAlign w:val="center"/>
          </w:tcPr>
          <w:p w14:paraId="1ADEB15E">
            <w:pPr>
              <w:pStyle w:val="38"/>
              <w:spacing w:line="600" w:lineRule="exact"/>
              <w:ind w:firstLine="0" w:firstLineChars="0"/>
              <w:rPr>
                <w:color w:val="auto"/>
                <w:sz w:val="24"/>
                <w:szCs w:val="24"/>
              </w:rPr>
            </w:pPr>
            <w:r>
              <w:rPr>
                <w:rFonts w:hint="eastAsia"/>
                <w:color w:val="auto"/>
                <w:sz w:val="24"/>
                <w:szCs w:val="24"/>
              </w:rPr>
              <w:t>15分</w:t>
            </w:r>
          </w:p>
        </w:tc>
        <w:tc>
          <w:tcPr>
            <w:tcW w:w="6989" w:type="dxa"/>
            <w:vAlign w:val="center"/>
          </w:tcPr>
          <w:p w14:paraId="6C472130">
            <w:pPr>
              <w:pStyle w:val="38"/>
              <w:spacing w:line="600" w:lineRule="exact"/>
              <w:rPr>
                <w:color w:val="auto"/>
                <w:sz w:val="24"/>
                <w:szCs w:val="24"/>
              </w:rPr>
            </w:pPr>
            <w:r>
              <w:rPr>
                <w:rFonts w:hint="eastAsia"/>
                <w:color w:val="auto"/>
                <w:sz w:val="24"/>
                <w:szCs w:val="24"/>
              </w:rPr>
              <w:t>工作实施方案中充分体现出优良的协作意识和配合观念，符合采购人需求，由评标小组在0-15分之间酌情打分。</w:t>
            </w:r>
          </w:p>
        </w:tc>
      </w:tr>
      <w:tr w14:paraId="226EF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237" w:type="dxa"/>
            <w:vMerge w:val="continue"/>
            <w:vAlign w:val="center"/>
          </w:tcPr>
          <w:p w14:paraId="1381C329">
            <w:pPr>
              <w:pStyle w:val="38"/>
              <w:spacing w:line="600" w:lineRule="exact"/>
              <w:rPr>
                <w:color w:val="auto"/>
                <w:sz w:val="24"/>
                <w:szCs w:val="24"/>
              </w:rPr>
            </w:pPr>
          </w:p>
        </w:tc>
        <w:tc>
          <w:tcPr>
            <w:tcW w:w="705" w:type="dxa"/>
            <w:vAlign w:val="center"/>
          </w:tcPr>
          <w:p w14:paraId="7428B942">
            <w:pPr>
              <w:pStyle w:val="38"/>
              <w:spacing w:line="600" w:lineRule="exact"/>
              <w:ind w:firstLine="0" w:firstLineChars="0"/>
              <w:jc w:val="center"/>
              <w:rPr>
                <w:color w:val="auto"/>
                <w:sz w:val="24"/>
                <w:szCs w:val="24"/>
              </w:rPr>
            </w:pPr>
            <w:r>
              <w:rPr>
                <w:rFonts w:hint="eastAsia"/>
                <w:color w:val="auto"/>
                <w:sz w:val="24"/>
                <w:szCs w:val="24"/>
              </w:rPr>
              <w:t>4分</w:t>
            </w:r>
          </w:p>
        </w:tc>
        <w:tc>
          <w:tcPr>
            <w:tcW w:w="6989" w:type="dxa"/>
            <w:vAlign w:val="center"/>
          </w:tcPr>
          <w:p w14:paraId="5958101D">
            <w:pPr>
              <w:pStyle w:val="38"/>
              <w:spacing w:line="600" w:lineRule="exact"/>
              <w:rPr>
                <w:color w:val="auto"/>
                <w:sz w:val="24"/>
                <w:szCs w:val="24"/>
              </w:rPr>
            </w:pPr>
            <w:r>
              <w:rPr>
                <w:rFonts w:hint="eastAsia"/>
                <w:color w:val="auto"/>
                <w:sz w:val="24"/>
                <w:szCs w:val="24"/>
              </w:rPr>
              <w:t>质量保证措施科学合理，由评标小组在0-4分之间酌情打分。</w:t>
            </w:r>
          </w:p>
        </w:tc>
      </w:tr>
      <w:tr w14:paraId="66991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237" w:type="dxa"/>
            <w:vMerge w:val="continue"/>
            <w:vAlign w:val="center"/>
          </w:tcPr>
          <w:p w14:paraId="16A6FAF7">
            <w:pPr>
              <w:pStyle w:val="38"/>
              <w:spacing w:line="600" w:lineRule="exact"/>
              <w:rPr>
                <w:color w:val="auto"/>
                <w:sz w:val="24"/>
                <w:szCs w:val="24"/>
              </w:rPr>
            </w:pPr>
          </w:p>
        </w:tc>
        <w:tc>
          <w:tcPr>
            <w:tcW w:w="705" w:type="dxa"/>
            <w:vAlign w:val="center"/>
          </w:tcPr>
          <w:p w14:paraId="1EF694BF">
            <w:pPr>
              <w:pStyle w:val="38"/>
              <w:spacing w:line="600" w:lineRule="exact"/>
              <w:ind w:firstLine="0" w:firstLineChars="0"/>
              <w:jc w:val="center"/>
              <w:rPr>
                <w:color w:val="auto"/>
                <w:sz w:val="24"/>
                <w:szCs w:val="24"/>
              </w:rPr>
            </w:pPr>
            <w:r>
              <w:rPr>
                <w:rFonts w:hint="eastAsia"/>
                <w:color w:val="auto"/>
                <w:sz w:val="24"/>
                <w:szCs w:val="24"/>
              </w:rPr>
              <w:t>3分</w:t>
            </w:r>
          </w:p>
        </w:tc>
        <w:tc>
          <w:tcPr>
            <w:tcW w:w="6989" w:type="dxa"/>
            <w:vAlign w:val="center"/>
          </w:tcPr>
          <w:p w14:paraId="74B53402">
            <w:pPr>
              <w:pStyle w:val="38"/>
              <w:spacing w:line="600" w:lineRule="exact"/>
              <w:rPr>
                <w:color w:val="auto"/>
                <w:sz w:val="24"/>
                <w:szCs w:val="24"/>
              </w:rPr>
            </w:pPr>
            <w:r>
              <w:rPr>
                <w:rFonts w:hint="eastAsia"/>
                <w:color w:val="auto"/>
                <w:sz w:val="24"/>
                <w:szCs w:val="24"/>
              </w:rPr>
              <w:t>工期保证措施合理，符合项目情况，由评标小组在0-3分之间酌情打分。</w:t>
            </w:r>
          </w:p>
        </w:tc>
      </w:tr>
      <w:tr w14:paraId="13B26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237" w:type="dxa"/>
            <w:vMerge w:val="continue"/>
            <w:vAlign w:val="center"/>
          </w:tcPr>
          <w:p w14:paraId="1AC690F0">
            <w:pPr>
              <w:pStyle w:val="38"/>
              <w:spacing w:line="600" w:lineRule="exact"/>
              <w:rPr>
                <w:color w:val="auto"/>
                <w:sz w:val="24"/>
                <w:szCs w:val="24"/>
              </w:rPr>
            </w:pPr>
          </w:p>
        </w:tc>
        <w:tc>
          <w:tcPr>
            <w:tcW w:w="705" w:type="dxa"/>
            <w:vAlign w:val="center"/>
          </w:tcPr>
          <w:p w14:paraId="4EB314AA">
            <w:pPr>
              <w:pStyle w:val="38"/>
              <w:spacing w:line="600" w:lineRule="exact"/>
              <w:ind w:firstLine="0" w:firstLineChars="0"/>
              <w:jc w:val="center"/>
              <w:rPr>
                <w:color w:val="auto"/>
                <w:sz w:val="24"/>
                <w:szCs w:val="24"/>
              </w:rPr>
            </w:pPr>
            <w:r>
              <w:rPr>
                <w:rFonts w:hint="eastAsia"/>
                <w:color w:val="auto"/>
                <w:sz w:val="24"/>
                <w:szCs w:val="24"/>
              </w:rPr>
              <w:t>3分</w:t>
            </w:r>
          </w:p>
        </w:tc>
        <w:tc>
          <w:tcPr>
            <w:tcW w:w="6989" w:type="dxa"/>
            <w:vAlign w:val="center"/>
          </w:tcPr>
          <w:p w14:paraId="472C908E">
            <w:pPr>
              <w:pStyle w:val="38"/>
              <w:spacing w:line="600" w:lineRule="exact"/>
              <w:rPr>
                <w:color w:val="auto"/>
                <w:sz w:val="24"/>
                <w:szCs w:val="24"/>
              </w:rPr>
            </w:pPr>
            <w:r>
              <w:rPr>
                <w:rFonts w:hint="eastAsia"/>
                <w:color w:val="auto"/>
                <w:sz w:val="24"/>
                <w:szCs w:val="24"/>
              </w:rPr>
              <w:t>根据供应商服务内容的优惠及承诺由评标小组在0-3分之间。</w:t>
            </w:r>
          </w:p>
        </w:tc>
      </w:tr>
      <w:tr w14:paraId="1D602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237" w:type="dxa"/>
            <w:vAlign w:val="center"/>
          </w:tcPr>
          <w:p w14:paraId="3E0FA748">
            <w:pPr>
              <w:pStyle w:val="38"/>
              <w:spacing w:line="600" w:lineRule="exact"/>
              <w:ind w:firstLine="0" w:firstLineChars="0"/>
              <w:jc w:val="center"/>
              <w:rPr>
                <w:color w:val="auto"/>
                <w:sz w:val="24"/>
                <w:szCs w:val="24"/>
              </w:rPr>
            </w:pPr>
            <w:r>
              <w:rPr>
                <w:rFonts w:hint="eastAsia"/>
                <w:color w:val="auto"/>
                <w:sz w:val="24"/>
                <w:szCs w:val="24"/>
              </w:rPr>
              <w:t>项目组成</w:t>
            </w:r>
          </w:p>
          <w:p w14:paraId="79914686">
            <w:pPr>
              <w:pStyle w:val="38"/>
              <w:spacing w:line="600" w:lineRule="exact"/>
              <w:ind w:firstLine="0" w:firstLineChars="0"/>
              <w:jc w:val="center"/>
              <w:rPr>
                <w:color w:val="auto"/>
                <w:sz w:val="24"/>
                <w:szCs w:val="24"/>
              </w:rPr>
            </w:pPr>
            <w:r>
              <w:rPr>
                <w:rFonts w:hint="eastAsia"/>
                <w:color w:val="auto"/>
                <w:sz w:val="24"/>
                <w:szCs w:val="24"/>
              </w:rPr>
              <w:t>机构</w:t>
            </w:r>
          </w:p>
        </w:tc>
        <w:tc>
          <w:tcPr>
            <w:tcW w:w="705" w:type="dxa"/>
            <w:vAlign w:val="center"/>
          </w:tcPr>
          <w:p w14:paraId="554B8CEC">
            <w:pPr>
              <w:pStyle w:val="38"/>
              <w:spacing w:line="600" w:lineRule="exact"/>
              <w:ind w:firstLine="0" w:firstLineChars="0"/>
              <w:rPr>
                <w:color w:val="auto"/>
                <w:sz w:val="24"/>
                <w:szCs w:val="24"/>
              </w:rPr>
            </w:pPr>
            <w:r>
              <w:rPr>
                <w:rFonts w:hint="eastAsia"/>
                <w:color w:val="auto"/>
                <w:sz w:val="24"/>
                <w:szCs w:val="24"/>
              </w:rPr>
              <w:t>15分</w:t>
            </w:r>
          </w:p>
        </w:tc>
        <w:tc>
          <w:tcPr>
            <w:tcW w:w="6989" w:type="dxa"/>
            <w:vAlign w:val="center"/>
          </w:tcPr>
          <w:p w14:paraId="4E6A1885">
            <w:pPr>
              <w:pStyle w:val="38"/>
              <w:spacing w:line="600" w:lineRule="exact"/>
              <w:rPr>
                <w:color w:val="auto"/>
                <w:sz w:val="24"/>
                <w:szCs w:val="24"/>
              </w:rPr>
            </w:pPr>
            <w:r>
              <w:rPr>
                <w:rFonts w:hint="eastAsia"/>
                <w:color w:val="auto"/>
                <w:sz w:val="24"/>
                <w:szCs w:val="24"/>
              </w:rPr>
              <w:t>1、项目管理机构人员配备情况：明确项目负责人、专业负责人，各专业人员配备齐全，职责分工是否明确，能保证按时完成任务， 酌情得分，满分得5分；</w:t>
            </w:r>
          </w:p>
          <w:p w14:paraId="573B778A">
            <w:pPr>
              <w:pStyle w:val="38"/>
              <w:spacing w:line="600" w:lineRule="exact"/>
              <w:rPr>
                <w:color w:val="auto"/>
                <w:sz w:val="24"/>
                <w:szCs w:val="24"/>
              </w:rPr>
            </w:pPr>
            <w:r>
              <w:rPr>
                <w:color w:val="auto"/>
                <w:sz w:val="24"/>
                <w:szCs w:val="24"/>
              </w:rPr>
              <w:t>2</w:t>
            </w:r>
            <w:r>
              <w:rPr>
                <w:rFonts w:hint="eastAsia"/>
                <w:color w:val="auto"/>
                <w:sz w:val="24"/>
                <w:szCs w:val="24"/>
              </w:rPr>
              <w:t>、项目负责人 2019年1月1日至今从事</w:t>
            </w:r>
            <w:r>
              <w:rPr>
                <w:rFonts w:hint="eastAsia"/>
                <w:color w:val="auto"/>
                <w:sz w:val="24"/>
                <w:szCs w:val="24"/>
                <w:lang w:val="en-US" w:eastAsia="zh-CN"/>
              </w:rPr>
              <w:t>水利水电工程或水利水电</w:t>
            </w:r>
            <w:r>
              <w:rPr>
                <w:rFonts w:hint="eastAsia"/>
                <w:color w:val="auto"/>
                <w:sz w:val="24"/>
                <w:szCs w:val="24"/>
              </w:rPr>
              <w:t>工程勘察设计行业企业管理咨询或企业并购咨询</w:t>
            </w:r>
            <w:r>
              <w:rPr>
                <w:color w:val="auto"/>
                <w:sz w:val="24"/>
                <w:szCs w:val="24"/>
              </w:rPr>
              <w:t>业绩的</w:t>
            </w:r>
            <w:r>
              <w:rPr>
                <w:rFonts w:hint="eastAsia"/>
                <w:color w:val="auto"/>
                <w:sz w:val="24"/>
                <w:szCs w:val="24"/>
              </w:rPr>
              <w:t>（须提供中标（成交）通知书或合同或</w:t>
            </w:r>
            <w:r>
              <w:rPr>
                <w:color w:val="auto"/>
                <w:sz w:val="24"/>
                <w:szCs w:val="24"/>
              </w:rPr>
              <w:t>证明材料</w:t>
            </w:r>
            <w:r>
              <w:rPr>
                <w:rFonts w:hint="eastAsia"/>
                <w:color w:val="auto"/>
                <w:sz w:val="24"/>
                <w:szCs w:val="24"/>
              </w:rPr>
              <w:t>复印件），每个得2分；最多得 10分。</w:t>
            </w:r>
          </w:p>
          <w:p w14:paraId="1F65BF14">
            <w:pPr>
              <w:pStyle w:val="38"/>
              <w:spacing w:line="600" w:lineRule="exact"/>
              <w:rPr>
                <w:color w:val="auto"/>
                <w:sz w:val="24"/>
                <w:szCs w:val="24"/>
              </w:rPr>
            </w:pPr>
            <w:r>
              <w:rPr>
                <w:rFonts w:hint="eastAsia"/>
                <w:color w:val="auto"/>
                <w:sz w:val="24"/>
                <w:szCs w:val="24"/>
              </w:rPr>
              <w:t>注：提供体现项目负责人的业绩证明材料（如业主证明、或其他可体现项目负责人信息的资料）；</w:t>
            </w:r>
          </w:p>
        </w:tc>
      </w:tr>
      <w:tr w14:paraId="3338B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237" w:type="dxa"/>
            <w:vAlign w:val="center"/>
          </w:tcPr>
          <w:p w14:paraId="0C25F511">
            <w:pPr>
              <w:pStyle w:val="38"/>
              <w:spacing w:line="600" w:lineRule="exact"/>
              <w:ind w:firstLine="0" w:firstLineChars="0"/>
              <w:jc w:val="center"/>
              <w:rPr>
                <w:color w:val="auto"/>
                <w:sz w:val="24"/>
                <w:szCs w:val="24"/>
              </w:rPr>
            </w:pPr>
            <w:r>
              <w:rPr>
                <w:rFonts w:hint="eastAsia"/>
                <w:color w:val="auto"/>
                <w:sz w:val="24"/>
                <w:szCs w:val="24"/>
              </w:rPr>
              <w:t>企业实力</w:t>
            </w:r>
          </w:p>
        </w:tc>
        <w:tc>
          <w:tcPr>
            <w:tcW w:w="705" w:type="dxa"/>
            <w:vAlign w:val="center"/>
          </w:tcPr>
          <w:p w14:paraId="273747EC">
            <w:pPr>
              <w:pStyle w:val="38"/>
              <w:spacing w:line="600" w:lineRule="exact"/>
              <w:ind w:firstLine="0" w:firstLineChars="0"/>
              <w:rPr>
                <w:color w:val="auto"/>
                <w:sz w:val="24"/>
                <w:szCs w:val="24"/>
              </w:rPr>
            </w:pPr>
            <w:r>
              <w:rPr>
                <w:rFonts w:hint="eastAsia"/>
                <w:color w:val="auto"/>
                <w:sz w:val="24"/>
                <w:szCs w:val="24"/>
              </w:rPr>
              <w:t>15分</w:t>
            </w:r>
          </w:p>
        </w:tc>
        <w:tc>
          <w:tcPr>
            <w:tcW w:w="6989" w:type="dxa"/>
            <w:vAlign w:val="center"/>
          </w:tcPr>
          <w:p w14:paraId="0ECEEBCC">
            <w:pPr>
              <w:pStyle w:val="38"/>
              <w:spacing w:line="600" w:lineRule="exact"/>
              <w:rPr>
                <w:color w:val="auto"/>
                <w:sz w:val="24"/>
                <w:szCs w:val="24"/>
              </w:rPr>
            </w:pPr>
            <w:r>
              <w:rPr>
                <w:rFonts w:hint="eastAsia"/>
                <w:color w:val="auto"/>
                <w:sz w:val="24"/>
                <w:szCs w:val="24"/>
              </w:rPr>
              <w:t>2019年1月1日至今从事</w:t>
            </w:r>
            <w:r>
              <w:rPr>
                <w:rFonts w:hint="eastAsia"/>
                <w:color w:val="auto"/>
                <w:sz w:val="24"/>
                <w:szCs w:val="24"/>
                <w:lang w:val="en-US" w:eastAsia="zh-CN"/>
              </w:rPr>
              <w:t>水利水电工程或水利水电</w:t>
            </w:r>
            <w:r>
              <w:rPr>
                <w:rFonts w:hint="eastAsia"/>
                <w:color w:val="auto"/>
                <w:sz w:val="24"/>
                <w:szCs w:val="24"/>
              </w:rPr>
              <w:t>工程勘察设计行业</w:t>
            </w:r>
            <w:bookmarkStart w:id="1" w:name="_GoBack"/>
            <w:bookmarkEnd w:id="1"/>
            <w:r>
              <w:rPr>
                <w:rFonts w:hint="eastAsia"/>
                <w:color w:val="auto"/>
                <w:sz w:val="24"/>
                <w:szCs w:val="24"/>
              </w:rPr>
              <w:t>企业管理咨询或企业并购咨询业绩的（须提供中标（成交）通知书或合同或证明材料复印件），每个得3分，最多得15分。</w:t>
            </w:r>
          </w:p>
        </w:tc>
      </w:tr>
      <w:tr w14:paraId="063EC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1237" w:type="dxa"/>
            <w:vAlign w:val="center"/>
          </w:tcPr>
          <w:p w14:paraId="22535A88">
            <w:pPr>
              <w:pStyle w:val="38"/>
              <w:spacing w:line="600" w:lineRule="exact"/>
              <w:rPr>
                <w:color w:val="auto"/>
                <w:sz w:val="24"/>
                <w:szCs w:val="24"/>
              </w:rPr>
            </w:pPr>
            <w:r>
              <w:rPr>
                <w:rFonts w:hint="eastAsia"/>
                <w:color w:val="auto"/>
                <w:sz w:val="24"/>
                <w:szCs w:val="24"/>
              </w:rPr>
              <w:t>合计</w:t>
            </w:r>
          </w:p>
        </w:tc>
        <w:tc>
          <w:tcPr>
            <w:tcW w:w="7694" w:type="dxa"/>
            <w:gridSpan w:val="2"/>
            <w:vAlign w:val="center"/>
          </w:tcPr>
          <w:p w14:paraId="72C4E2D4">
            <w:pPr>
              <w:pStyle w:val="38"/>
              <w:spacing w:line="600" w:lineRule="exact"/>
              <w:rPr>
                <w:color w:val="auto"/>
                <w:sz w:val="24"/>
                <w:szCs w:val="24"/>
              </w:rPr>
            </w:pPr>
            <w:r>
              <w:rPr>
                <w:rFonts w:hint="eastAsia"/>
                <w:color w:val="auto"/>
                <w:sz w:val="24"/>
                <w:szCs w:val="24"/>
              </w:rPr>
              <w:t>100分</w:t>
            </w:r>
          </w:p>
        </w:tc>
      </w:tr>
    </w:tbl>
    <w:p w14:paraId="325FD79D">
      <w:pPr>
        <w:spacing w:line="600" w:lineRule="exact"/>
        <w:ind w:right="2" w:firstLine="480" w:firstLineChars="200"/>
        <w:rPr>
          <w:rFonts w:hint="eastAsia"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、以上评审标准中涉及加分的证书、证明材料、中标（成交）通知书、业绩证明、等文件须在响应文件中附复印件，未按上述要求提供的不得分。</w:t>
      </w:r>
    </w:p>
    <w:p w14:paraId="21DF6985">
      <w:pPr>
        <w:spacing w:line="600" w:lineRule="exact"/>
        <w:ind w:right="2" w:firstLine="480"/>
        <w:rPr>
          <w:rFonts w:hint="eastAsia" w:ascii="宋体"/>
          <w:b/>
          <w:sz w:val="24"/>
        </w:rPr>
      </w:pPr>
      <w:r>
        <w:rPr>
          <w:rFonts w:hint="eastAsia" w:ascii="宋体" w:hAnsi="宋体"/>
          <w:b/>
          <w:sz w:val="24"/>
        </w:rPr>
        <w:t>2、本细则只针对有效响应文件予以评分，评分计算均保留小数点后两位有效数字。</w:t>
      </w:r>
    </w:p>
    <w:p w14:paraId="12DFD1BC">
      <w:pPr>
        <w:spacing w:line="600" w:lineRule="exact"/>
        <w:ind w:right="2" w:firstLine="480"/>
        <w:rPr>
          <w:rFonts w:hint="eastAsia" w:ascii="宋体"/>
          <w:b/>
          <w:sz w:val="24"/>
        </w:rPr>
      </w:pPr>
      <w:r>
        <w:rPr>
          <w:rFonts w:hint="eastAsia" w:ascii="宋体" w:hAnsi="宋体"/>
          <w:b/>
          <w:sz w:val="24"/>
        </w:rPr>
        <w:t>3、综合得分最高的供应商为第一成交候选人。</w:t>
      </w:r>
    </w:p>
    <w:p w14:paraId="2F7DD88A">
      <w:pPr>
        <w:spacing w:line="600" w:lineRule="exact"/>
        <w:ind w:right="2" w:firstLine="480"/>
        <w:rPr>
          <w:rFonts w:hint="eastAsia" w:ascii="宋体" w:hAnsi="宋体"/>
          <w:b/>
          <w:sz w:val="24"/>
        </w:rPr>
      </w:pPr>
      <w:r>
        <w:rPr>
          <w:rFonts w:hint="eastAsia" w:ascii="宋体" w:hAnsi="宋体"/>
          <w:b/>
          <w:sz w:val="24"/>
        </w:rPr>
        <w:t>4、供应商总分相同，报价得分高者为第一成交候选人；供应商总分相同、报价得分相同，技术条款响应情况得分高者为第一成交候选人。</w:t>
      </w:r>
    </w:p>
    <w:p w14:paraId="09E8E54D">
      <w:pPr>
        <w:spacing w:line="600" w:lineRule="exact"/>
        <w:ind w:right="2" w:firstLine="480"/>
        <w:rPr>
          <w:rFonts w:hint="eastAsia" w:ascii="宋体" w:hAnsi="宋体"/>
          <w:b/>
          <w:sz w:val="24"/>
        </w:rPr>
      </w:pPr>
    </w:p>
    <w:p w14:paraId="383D484C">
      <w:pPr>
        <w:rPr>
          <w:rFonts w:hint="eastAsia"/>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4CB4"/>
    <w:rsid w:val="005675C2"/>
    <w:rsid w:val="006930ED"/>
    <w:rsid w:val="0077074E"/>
    <w:rsid w:val="00904CB4"/>
    <w:rsid w:val="184370AD"/>
    <w:rsid w:val="19A3183A"/>
    <w:rsid w:val="450677BC"/>
    <w:rsid w:val="7A6413DB"/>
    <w:rsid w:val="7FCA79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Theme="minorHAnsi" w:hAnsiTheme="minorHAnsi" w:eastAsiaTheme="minorEastAsia" w:cstheme="minorBidi"/>
      <w:kern w:val="2"/>
      <w:sz w:val="21"/>
      <w:szCs w:val="22"/>
      <w:lang w:val="en-US" w:eastAsia="zh-CN" w:bidi="ar-SA"/>
      <w14:ligatures w14:val="none"/>
    </w:rPr>
  </w:style>
  <w:style w:type="paragraph" w:styleId="2">
    <w:name w:val="heading 1"/>
    <w:basedOn w:val="1"/>
    <w:next w:val="1"/>
    <w:link w:val="19"/>
    <w:qFormat/>
    <w:uiPriority w:val="0"/>
    <w:pPr>
      <w:keepNext/>
      <w:keepLines/>
      <w:spacing w:before="480" w:after="80" w:line="278" w:lineRule="auto"/>
      <w:jc w:val="left"/>
      <w:outlineLvl w:val="0"/>
    </w:pPr>
    <w:rPr>
      <w:rFonts w:asciiTheme="majorHAnsi" w:hAnsiTheme="majorHAnsi" w:eastAsiaTheme="majorEastAsia" w:cstheme="majorBidi"/>
      <w:color w:val="104862" w:themeColor="accent1" w:themeShade="BF"/>
      <w:sz w:val="48"/>
      <w:szCs w:val="48"/>
      <w14:ligatures w14:val="standardContextual"/>
    </w:rPr>
  </w:style>
  <w:style w:type="paragraph" w:styleId="3">
    <w:name w:val="heading 2"/>
    <w:basedOn w:val="1"/>
    <w:next w:val="1"/>
    <w:link w:val="20"/>
    <w:semiHidden/>
    <w:unhideWhenUsed/>
    <w:qFormat/>
    <w:uiPriority w:val="9"/>
    <w:pPr>
      <w:keepNext/>
      <w:keepLines/>
      <w:spacing w:before="160" w:after="80" w:line="278" w:lineRule="auto"/>
      <w:jc w:val="left"/>
      <w:outlineLvl w:val="1"/>
    </w:pPr>
    <w:rPr>
      <w:rFonts w:asciiTheme="majorHAnsi" w:hAnsiTheme="majorHAnsi" w:eastAsiaTheme="majorEastAsia" w:cstheme="majorBidi"/>
      <w:color w:val="104862" w:themeColor="accent1" w:themeShade="BF"/>
      <w:sz w:val="40"/>
      <w:szCs w:val="40"/>
      <w14:ligatures w14:val="standardContextual"/>
    </w:rPr>
  </w:style>
  <w:style w:type="paragraph" w:styleId="4">
    <w:name w:val="heading 3"/>
    <w:basedOn w:val="1"/>
    <w:next w:val="1"/>
    <w:link w:val="21"/>
    <w:unhideWhenUsed/>
    <w:qFormat/>
    <w:uiPriority w:val="0"/>
    <w:pPr>
      <w:keepNext/>
      <w:keepLines/>
      <w:spacing w:before="160" w:after="80" w:line="278" w:lineRule="auto"/>
      <w:jc w:val="left"/>
      <w:outlineLvl w:val="2"/>
    </w:pPr>
    <w:rPr>
      <w:rFonts w:asciiTheme="majorHAnsi" w:hAnsiTheme="majorHAnsi" w:eastAsiaTheme="majorEastAsia" w:cstheme="majorBidi"/>
      <w:color w:val="104862" w:themeColor="accent1" w:themeShade="BF"/>
      <w:sz w:val="32"/>
      <w:szCs w:val="32"/>
      <w14:ligatures w14:val="standardContextual"/>
    </w:rPr>
  </w:style>
  <w:style w:type="paragraph" w:styleId="5">
    <w:name w:val="heading 4"/>
    <w:basedOn w:val="1"/>
    <w:next w:val="1"/>
    <w:link w:val="22"/>
    <w:semiHidden/>
    <w:unhideWhenUsed/>
    <w:qFormat/>
    <w:uiPriority w:val="9"/>
    <w:pPr>
      <w:keepNext/>
      <w:keepLines/>
      <w:spacing w:before="80" w:after="40" w:line="278" w:lineRule="auto"/>
      <w:jc w:val="left"/>
      <w:outlineLvl w:val="3"/>
    </w:pPr>
    <w:rPr>
      <w:rFonts w:cstheme="majorBidi"/>
      <w:color w:val="104862" w:themeColor="accent1" w:themeShade="BF"/>
      <w:sz w:val="28"/>
      <w:szCs w:val="28"/>
      <w14:ligatures w14:val="standardContextual"/>
    </w:rPr>
  </w:style>
  <w:style w:type="paragraph" w:styleId="6">
    <w:name w:val="heading 5"/>
    <w:basedOn w:val="1"/>
    <w:next w:val="1"/>
    <w:link w:val="23"/>
    <w:semiHidden/>
    <w:unhideWhenUsed/>
    <w:qFormat/>
    <w:uiPriority w:val="9"/>
    <w:pPr>
      <w:keepNext/>
      <w:keepLines/>
      <w:spacing w:before="80" w:after="40" w:line="278" w:lineRule="auto"/>
      <w:jc w:val="left"/>
      <w:outlineLvl w:val="4"/>
    </w:pPr>
    <w:rPr>
      <w:rFonts w:cstheme="majorBidi"/>
      <w:color w:val="104862" w:themeColor="accent1" w:themeShade="BF"/>
      <w:sz w:val="24"/>
      <w:szCs w:val="24"/>
      <w14:ligatures w14:val="standardContextual"/>
    </w:rPr>
  </w:style>
  <w:style w:type="paragraph" w:styleId="7">
    <w:name w:val="heading 6"/>
    <w:basedOn w:val="1"/>
    <w:next w:val="1"/>
    <w:link w:val="24"/>
    <w:semiHidden/>
    <w:unhideWhenUsed/>
    <w:qFormat/>
    <w:uiPriority w:val="9"/>
    <w:pPr>
      <w:keepNext/>
      <w:keepLines/>
      <w:spacing w:before="40" w:line="278" w:lineRule="auto"/>
      <w:jc w:val="left"/>
      <w:outlineLvl w:val="5"/>
    </w:pPr>
    <w:rPr>
      <w:rFonts w:cstheme="majorBidi"/>
      <w:b/>
      <w:bCs/>
      <w:color w:val="104862" w:themeColor="accent1" w:themeShade="BF"/>
      <w:sz w:val="22"/>
      <w:szCs w:val="24"/>
      <w14:ligatures w14:val="standardContextual"/>
    </w:rPr>
  </w:style>
  <w:style w:type="paragraph" w:styleId="8">
    <w:name w:val="heading 7"/>
    <w:basedOn w:val="1"/>
    <w:next w:val="1"/>
    <w:link w:val="25"/>
    <w:semiHidden/>
    <w:unhideWhenUsed/>
    <w:qFormat/>
    <w:uiPriority w:val="9"/>
    <w:pPr>
      <w:keepNext/>
      <w:keepLines/>
      <w:spacing w:before="40" w:line="278" w:lineRule="auto"/>
      <w:jc w:val="left"/>
      <w:outlineLvl w:val="6"/>
    </w:pPr>
    <w:rPr>
      <w:rFonts w:cstheme="majorBidi"/>
      <w:b/>
      <w:bCs/>
      <w:color w:val="595959" w:themeColor="text1" w:themeTint="A6"/>
      <w:sz w:val="22"/>
      <w:szCs w:val="24"/>
      <w14:textFill>
        <w14:solidFill>
          <w14:schemeClr w14:val="tx1">
            <w14:lumMod w14:val="65000"/>
            <w14:lumOff w14:val="35000"/>
          </w14:schemeClr>
        </w14:solidFill>
      </w14:textFill>
      <w14:ligatures w14:val="standardContextual"/>
    </w:rPr>
  </w:style>
  <w:style w:type="paragraph" w:styleId="9">
    <w:name w:val="heading 8"/>
    <w:basedOn w:val="1"/>
    <w:next w:val="1"/>
    <w:link w:val="26"/>
    <w:semiHidden/>
    <w:unhideWhenUsed/>
    <w:qFormat/>
    <w:uiPriority w:val="9"/>
    <w:pPr>
      <w:keepNext/>
      <w:keepLines/>
      <w:spacing w:line="278" w:lineRule="auto"/>
      <w:jc w:val="left"/>
      <w:outlineLvl w:val="7"/>
    </w:pPr>
    <w:rPr>
      <w:rFonts w:cstheme="majorBidi"/>
      <w:color w:val="595959" w:themeColor="text1" w:themeTint="A6"/>
      <w:sz w:val="22"/>
      <w:szCs w:val="24"/>
      <w14:textFill>
        <w14:solidFill>
          <w14:schemeClr w14:val="tx1">
            <w14:lumMod w14:val="65000"/>
            <w14:lumOff w14:val="35000"/>
          </w14:schemeClr>
        </w14:solidFill>
      </w14:textFill>
      <w14:ligatures w14:val="standardContextual"/>
    </w:rPr>
  </w:style>
  <w:style w:type="paragraph" w:styleId="10">
    <w:name w:val="heading 9"/>
    <w:basedOn w:val="1"/>
    <w:next w:val="1"/>
    <w:link w:val="27"/>
    <w:semiHidden/>
    <w:unhideWhenUsed/>
    <w:qFormat/>
    <w:uiPriority w:val="9"/>
    <w:pPr>
      <w:keepNext/>
      <w:keepLines/>
      <w:spacing w:line="278" w:lineRule="auto"/>
      <w:jc w:val="left"/>
      <w:outlineLvl w:val="8"/>
    </w:pPr>
    <w:rPr>
      <w:rFonts w:eastAsiaTheme="majorEastAsia" w:cstheme="majorBidi"/>
      <w:color w:val="595959" w:themeColor="text1" w:themeTint="A6"/>
      <w:sz w:val="22"/>
      <w:szCs w:val="24"/>
      <w14:textFill>
        <w14:solidFill>
          <w14:schemeClr w14:val="tx1">
            <w14:lumMod w14:val="65000"/>
            <w14:lumOff w14:val="35000"/>
          </w14:schemeClr>
        </w14:solidFill>
      </w14:textFill>
      <w14:ligatures w14:val="standardContextual"/>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11">
    <w:name w:val="Body Text"/>
    <w:link w:val="37"/>
    <w:qFormat/>
    <w:uiPriority w:val="0"/>
    <w:pPr>
      <w:widowControl w:val="0"/>
      <w:adjustRightInd w:val="0"/>
      <w:spacing w:before="100" w:after="100" w:line="300" w:lineRule="auto"/>
      <w:ind w:firstLine="1044" w:firstLineChars="200"/>
      <w:jc w:val="both"/>
    </w:pPr>
    <w:rPr>
      <w:rFonts w:ascii="Times New Roman" w:hAnsi="Times New Roman" w:eastAsia="宋体" w:cs="Times New Roman"/>
      <w:kern w:val="2"/>
      <w:sz w:val="24"/>
      <w:szCs w:val="24"/>
      <w:lang w:val="en-US" w:eastAsia="zh-CN" w:bidi="ar-SA"/>
      <w14:ligatures w14:val="none"/>
    </w:rPr>
  </w:style>
  <w:style w:type="paragraph" w:styleId="12">
    <w:name w:val="footer"/>
    <w:basedOn w:val="1"/>
    <w:link w:val="40"/>
    <w:unhideWhenUsed/>
    <w:qFormat/>
    <w:uiPriority w:val="99"/>
    <w:pPr>
      <w:tabs>
        <w:tab w:val="center" w:pos="4153"/>
        <w:tab w:val="right" w:pos="8306"/>
      </w:tabs>
      <w:snapToGrid w:val="0"/>
      <w:jc w:val="left"/>
    </w:pPr>
    <w:rPr>
      <w:sz w:val="18"/>
      <w:szCs w:val="18"/>
    </w:rPr>
  </w:style>
  <w:style w:type="paragraph" w:styleId="13">
    <w:name w:val="header"/>
    <w:basedOn w:val="1"/>
    <w:link w:val="39"/>
    <w:unhideWhenUsed/>
    <w:qFormat/>
    <w:uiPriority w:val="99"/>
    <w:pPr>
      <w:tabs>
        <w:tab w:val="center" w:pos="4153"/>
        <w:tab w:val="right" w:pos="8306"/>
      </w:tabs>
      <w:snapToGrid w:val="0"/>
      <w:jc w:val="center"/>
    </w:pPr>
    <w:rPr>
      <w:sz w:val="18"/>
      <w:szCs w:val="18"/>
    </w:rPr>
  </w:style>
  <w:style w:type="paragraph" w:styleId="14">
    <w:name w:val="Subtitle"/>
    <w:basedOn w:val="1"/>
    <w:next w:val="1"/>
    <w:link w:val="29"/>
    <w:qFormat/>
    <w:uiPriority w:val="11"/>
    <w:pPr>
      <w:spacing w:after="160" w:line="278" w:lineRule="auto"/>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14:ligatures w14:val="standardContextual"/>
    </w:rPr>
  </w:style>
  <w:style w:type="paragraph" w:styleId="15">
    <w:name w:val="Title"/>
    <w:basedOn w:val="1"/>
    <w:next w:val="1"/>
    <w:link w:val="28"/>
    <w:qFormat/>
    <w:uiPriority w:val="0"/>
    <w:pPr>
      <w:spacing w:after="80"/>
      <w:contextualSpacing/>
      <w:jc w:val="center"/>
    </w:pPr>
    <w:rPr>
      <w:rFonts w:asciiTheme="majorHAnsi" w:hAnsiTheme="majorHAnsi" w:eastAsiaTheme="majorEastAsia" w:cstheme="majorBidi"/>
      <w:spacing w:val="-10"/>
      <w:kern w:val="28"/>
      <w:sz w:val="56"/>
      <w:szCs w:val="56"/>
      <w14:ligatures w14:val="standardContextual"/>
    </w:rPr>
  </w:style>
  <w:style w:type="character" w:styleId="18">
    <w:name w:val="Strong"/>
    <w:qFormat/>
    <w:uiPriority w:val="0"/>
    <w:rPr>
      <w:b/>
    </w:rPr>
  </w:style>
  <w:style w:type="character" w:customStyle="1" w:styleId="19">
    <w:name w:val="标题 1 字符"/>
    <w:basedOn w:val="17"/>
    <w:link w:val="2"/>
    <w:qFormat/>
    <w:uiPriority w:val="0"/>
    <w:rPr>
      <w:rFonts w:asciiTheme="majorHAnsi" w:hAnsiTheme="majorHAnsi" w:eastAsiaTheme="majorEastAsia" w:cstheme="majorBidi"/>
      <w:color w:val="104862" w:themeColor="accent1" w:themeShade="BF"/>
      <w:sz w:val="48"/>
      <w:szCs w:val="48"/>
    </w:rPr>
  </w:style>
  <w:style w:type="character" w:customStyle="1" w:styleId="20">
    <w:name w:val="标题 2 字符"/>
    <w:basedOn w:val="17"/>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1">
    <w:name w:val="标题 3 字符"/>
    <w:basedOn w:val="17"/>
    <w:link w:val="4"/>
    <w:qFormat/>
    <w:uiPriority w:val="0"/>
    <w:rPr>
      <w:rFonts w:asciiTheme="majorHAnsi" w:hAnsiTheme="majorHAnsi" w:eastAsiaTheme="majorEastAsia" w:cstheme="majorBidi"/>
      <w:color w:val="104862" w:themeColor="accent1" w:themeShade="BF"/>
      <w:sz w:val="32"/>
      <w:szCs w:val="32"/>
    </w:rPr>
  </w:style>
  <w:style w:type="character" w:customStyle="1" w:styleId="22">
    <w:name w:val="标题 4 字符"/>
    <w:basedOn w:val="17"/>
    <w:link w:val="5"/>
    <w:semiHidden/>
    <w:qFormat/>
    <w:uiPriority w:val="9"/>
    <w:rPr>
      <w:rFonts w:cstheme="majorBidi"/>
      <w:color w:val="104862" w:themeColor="accent1" w:themeShade="BF"/>
      <w:sz w:val="28"/>
      <w:szCs w:val="28"/>
    </w:rPr>
  </w:style>
  <w:style w:type="character" w:customStyle="1" w:styleId="23">
    <w:name w:val="标题 5 字符"/>
    <w:basedOn w:val="17"/>
    <w:link w:val="6"/>
    <w:semiHidden/>
    <w:qFormat/>
    <w:uiPriority w:val="9"/>
    <w:rPr>
      <w:rFonts w:cstheme="majorBidi"/>
      <w:color w:val="104862" w:themeColor="accent1" w:themeShade="BF"/>
      <w:sz w:val="24"/>
    </w:rPr>
  </w:style>
  <w:style w:type="character" w:customStyle="1" w:styleId="24">
    <w:name w:val="标题 6 字符"/>
    <w:basedOn w:val="17"/>
    <w:link w:val="7"/>
    <w:semiHidden/>
    <w:qFormat/>
    <w:uiPriority w:val="9"/>
    <w:rPr>
      <w:rFonts w:cstheme="majorBidi"/>
      <w:b/>
      <w:bCs/>
      <w:color w:val="104862" w:themeColor="accent1" w:themeShade="BF"/>
    </w:rPr>
  </w:style>
  <w:style w:type="character" w:customStyle="1" w:styleId="25">
    <w:name w:val="标题 7 字符"/>
    <w:basedOn w:val="17"/>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6">
    <w:name w:val="标题 8 字符"/>
    <w:basedOn w:val="17"/>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7">
    <w:name w:val="标题 9 字符"/>
    <w:basedOn w:val="17"/>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8">
    <w:name w:val="标题 字符"/>
    <w:basedOn w:val="17"/>
    <w:link w:val="15"/>
    <w:qFormat/>
    <w:uiPriority w:val="0"/>
    <w:rPr>
      <w:rFonts w:asciiTheme="majorHAnsi" w:hAnsiTheme="majorHAnsi" w:eastAsiaTheme="majorEastAsia" w:cstheme="majorBidi"/>
      <w:spacing w:val="-10"/>
      <w:kern w:val="28"/>
      <w:sz w:val="56"/>
      <w:szCs w:val="56"/>
    </w:rPr>
  </w:style>
  <w:style w:type="character" w:customStyle="1" w:styleId="29">
    <w:name w:val="副标题 字符"/>
    <w:basedOn w:val="17"/>
    <w:link w:val="14"/>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0">
    <w:name w:val="Quote"/>
    <w:basedOn w:val="1"/>
    <w:next w:val="1"/>
    <w:link w:val="31"/>
    <w:qFormat/>
    <w:uiPriority w:val="29"/>
    <w:pPr>
      <w:spacing w:before="160" w:after="160" w:line="278" w:lineRule="auto"/>
      <w:jc w:val="center"/>
    </w:pPr>
    <w:rPr>
      <w:i/>
      <w:iCs/>
      <w:color w:val="404040" w:themeColor="text1" w:themeTint="BF"/>
      <w:sz w:val="22"/>
      <w:szCs w:val="24"/>
      <w14:textFill>
        <w14:solidFill>
          <w14:schemeClr w14:val="tx1">
            <w14:lumMod w14:val="75000"/>
            <w14:lumOff w14:val="25000"/>
          </w14:schemeClr>
        </w14:solidFill>
      </w14:textFill>
      <w14:ligatures w14:val="standardContextual"/>
    </w:rPr>
  </w:style>
  <w:style w:type="character" w:customStyle="1" w:styleId="31">
    <w:name w:val="引用 字符"/>
    <w:basedOn w:val="17"/>
    <w:link w:val="30"/>
    <w:qFormat/>
    <w:uiPriority w:val="29"/>
    <w:rPr>
      <w:i/>
      <w:iCs/>
      <w:color w:val="404040" w:themeColor="text1" w:themeTint="BF"/>
      <w14:textFill>
        <w14:solidFill>
          <w14:schemeClr w14:val="tx1">
            <w14:lumMod w14:val="75000"/>
            <w14:lumOff w14:val="25000"/>
          </w14:schemeClr>
        </w14:solidFill>
      </w14:textFill>
    </w:rPr>
  </w:style>
  <w:style w:type="paragraph" w:styleId="32">
    <w:name w:val="List Paragraph"/>
    <w:basedOn w:val="1"/>
    <w:qFormat/>
    <w:uiPriority w:val="34"/>
    <w:pPr>
      <w:spacing w:after="160" w:line="278" w:lineRule="auto"/>
      <w:ind w:left="720"/>
      <w:contextualSpacing/>
      <w:jc w:val="left"/>
    </w:pPr>
    <w:rPr>
      <w:sz w:val="22"/>
      <w:szCs w:val="24"/>
      <w14:ligatures w14:val="standardContextual"/>
    </w:rPr>
  </w:style>
  <w:style w:type="character" w:customStyle="1" w:styleId="33">
    <w:name w:val="Intense Emphasis"/>
    <w:basedOn w:val="17"/>
    <w:qFormat/>
    <w:uiPriority w:val="21"/>
    <w:rPr>
      <w:i/>
      <w:iCs/>
      <w:color w:val="104862" w:themeColor="accent1" w:themeShade="BF"/>
    </w:rPr>
  </w:style>
  <w:style w:type="paragraph" w:styleId="34">
    <w:name w:val="Intense Quote"/>
    <w:basedOn w:val="1"/>
    <w:next w:val="1"/>
    <w:link w:val="35"/>
    <w:qFormat/>
    <w:uiPriority w:val="30"/>
    <w:pPr>
      <w:pBdr>
        <w:top w:val="single" w:color="0F4761" w:themeColor="accent1" w:themeShade="BF" w:sz="4" w:space="10"/>
        <w:bottom w:val="single" w:color="0F4761" w:themeColor="accent1" w:themeShade="BF" w:sz="4" w:space="10"/>
      </w:pBdr>
      <w:spacing w:before="360" w:after="360" w:line="278" w:lineRule="auto"/>
      <w:ind w:left="864" w:right="864"/>
      <w:jc w:val="center"/>
    </w:pPr>
    <w:rPr>
      <w:i/>
      <w:iCs/>
      <w:color w:val="104862" w:themeColor="accent1" w:themeShade="BF"/>
      <w:sz w:val="22"/>
      <w:szCs w:val="24"/>
      <w14:ligatures w14:val="standardContextual"/>
    </w:rPr>
  </w:style>
  <w:style w:type="character" w:customStyle="1" w:styleId="35">
    <w:name w:val="明显引用 字符"/>
    <w:basedOn w:val="17"/>
    <w:link w:val="34"/>
    <w:qFormat/>
    <w:uiPriority w:val="30"/>
    <w:rPr>
      <w:i/>
      <w:iCs/>
      <w:color w:val="104862" w:themeColor="accent1" w:themeShade="BF"/>
    </w:rPr>
  </w:style>
  <w:style w:type="character" w:customStyle="1" w:styleId="36">
    <w:name w:val="Intense Reference"/>
    <w:basedOn w:val="17"/>
    <w:qFormat/>
    <w:uiPriority w:val="32"/>
    <w:rPr>
      <w:b/>
      <w:bCs/>
      <w:smallCaps/>
      <w:color w:val="104862" w:themeColor="accent1" w:themeShade="BF"/>
      <w:spacing w:val="5"/>
    </w:rPr>
  </w:style>
  <w:style w:type="character" w:customStyle="1" w:styleId="37">
    <w:name w:val="正文文本 字符"/>
    <w:basedOn w:val="17"/>
    <w:link w:val="11"/>
    <w:qFormat/>
    <w:uiPriority w:val="0"/>
    <w:rPr>
      <w:rFonts w:ascii="Times New Roman" w:hAnsi="Times New Roman" w:eastAsia="宋体" w:cs="Times New Roman"/>
      <w:sz w:val="24"/>
      <w14:ligatures w14:val="none"/>
    </w:rPr>
  </w:style>
  <w:style w:type="paragraph" w:customStyle="1" w:styleId="38">
    <w:name w:val="列出段落1"/>
    <w:basedOn w:val="1"/>
    <w:qFormat/>
    <w:uiPriority w:val="99"/>
    <w:pPr>
      <w:spacing w:line="360" w:lineRule="auto"/>
      <w:ind w:firstLine="480" w:firstLineChars="200"/>
    </w:pPr>
    <w:rPr>
      <w:rFonts w:ascii="Calibri" w:hAnsi="Calibri" w:eastAsia="宋体" w:cs="Times New Roman"/>
      <w:color w:val="262626"/>
      <w:kern w:val="0"/>
      <w:sz w:val="20"/>
      <w:szCs w:val="20"/>
    </w:rPr>
  </w:style>
  <w:style w:type="character" w:customStyle="1" w:styleId="39">
    <w:name w:val="页眉 字符"/>
    <w:basedOn w:val="17"/>
    <w:link w:val="13"/>
    <w:qFormat/>
    <w:uiPriority w:val="99"/>
    <w:rPr>
      <w:sz w:val="18"/>
      <w:szCs w:val="18"/>
      <w14:ligatures w14:val="none"/>
    </w:rPr>
  </w:style>
  <w:style w:type="character" w:customStyle="1" w:styleId="40">
    <w:name w:val="页脚 字符"/>
    <w:basedOn w:val="17"/>
    <w:link w:val="12"/>
    <w:qFormat/>
    <w:uiPriority w:val="99"/>
    <w:rPr>
      <w:sz w:val="18"/>
      <w:szCs w:val="18"/>
      <w14:ligatures w14: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Normal.dotm</Template>
  <Pages>3</Pages>
  <Words>1112</Words>
  <Characters>1151</Characters>
  <Lines>25</Lines>
  <Paragraphs>7</Paragraphs>
  <TotalTime>1</TotalTime>
  <ScaleCrop>false</ScaleCrop>
  <LinksUpToDate>false</LinksUpToDate>
  <CharactersWithSpaces>1154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2025-03-19T06:31:00Z</dcterms:created>
  <dc:creator>Manhao</dc:creator>
  <cp:lastModifiedBy>Rinko</cp:lastModifiedBy>
  <cp:lastPrinted>2025-03-19T07:48:00Z</cp:lastPrinted>
  <dcterms:modified xsi:type="dcterms:W3CDTF">2025-03-24T08:02:51Z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eyJoZGlkIjoiNGUwY2U4OWFkOTY0NDM1ZmE1ZTkzZWQ3ZTVkMmVlNzgiLCJ1c2VySWQiOiIyMDQyNzg2MTUifQ==</vt:lpwstr>
  </property>
  <property fmtid="{D5CDD505-2E9C-101B-9397-08002B2CF9AE}" pid="3" name="KSOProductBuildVer">
    <vt:lpwstr>2052-12.1.0.19770</vt:lpwstr>
  </property>
  <property fmtid="{D5CDD505-2E9C-101B-9397-08002B2CF9AE}" pid="4" name="ICV">
    <vt:lpwstr>1837B462614B436EBA490900901F0DAB_13</vt:lpwstr>
  </property>
</Properties>
</file>